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0" w:rsidRPr="002648CE" w:rsidRDefault="00E04EA0" w:rsidP="00E04EA0">
      <w:pPr>
        <w:ind w:firstLine="360"/>
        <w:jc w:val="both"/>
      </w:pPr>
      <w:hyperlink r:id="rId5" w:history="1">
        <w:r w:rsidRPr="002648CE">
          <w:rPr>
            <w:rStyle w:val="Hyperlink"/>
          </w:rPr>
          <w:t>Univers</w:t>
        </w:r>
        <w:r w:rsidRPr="002648CE">
          <w:rPr>
            <w:rStyle w:val="Hyperlink"/>
          </w:rPr>
          <w:t>i</w:t>
        </w:r>
        <w:r w:rsidRPr="002648CE">
          <w:rPr>
            <w:rStyle w:val="Hyperlink"/>
          </w:rPr>
          <w:t>té</w:t>
        </w:r>
      </w:hyperlink>
      <w:hyperlink r:id="rId6" w:history="1">
        <w:r w:rsidRPr="002648CE">
          <w:rPr>
            <w:rStyle w:val="Hyperlink"/>
          </w:rPr>
          <w:t xml:space="preserve"> de Bre</w:t>
        </w:r>
        <w:bookmarkStart w:id="0" w:name="_GoBack"/>
        <w:bookmarkEnd w:id="0"/>
        <w:r w:rsidRPr="002648CE">
          <w:rPr>
            <w:rStyle w:val="Hyperlink"/>
          </w:rPr>
          <w:t>tagne Sud</w:t>
        </w:r>
      </w:hyperlink>
    </w:p>
    <w:p w:rsidR="00E04EA0" w:rsidRPr="002648CE" w:rsidRDefault="00E04EA0" w:rsidP="00E04EA0">
      <w:pPr>
        <w:jc w:val="both"/>
        <w:rPr>
          <w:b/>
        </w:rPr>
      </w:pPr>
      <w:r w:rsidRPr="002648CE">
        <w:rPr>
          <w:b/>
        </w:rPr>
        <w:t>Bewerbungsfristen</w:t>
      </w:r>
    </w:p>
    <w:p w:rsidR="00E04EA0" w:rsidRPr="002648CE" w:rsidRDefault="00E04EA0" w:rsidP="00E04EA0">
      <w:pPr>
        <w:pStyle w:val="Listenabsatz"/>
        <w:numPr>
          <w:ilvl w:val="2"/>
          <w:numId w:val="1"/>
        </w:numPr>
        <w:jc w:val="both"/>
      </w:pPr>
      <w:r w:rsidRPr="002648CE">
        <w:t xml:space="preserve">für ein Jahr oder nur für das Wintersemester: bis zum 01. Juni </w:t>
      </w:r>
    </w:p>
    <w:p w:rsidR="00E04EA0" w:rsidRPr="002648CE" w:rsidRDefault="00E04EA0" w:rsidP="00E04EA0">
      <w:pPr>
        <w:pStyle w:val="Listenabsatz"/>
        <w:numPr>
          <w:ilvl w:val="2"/>
          <w:numId w:val="1"/>
        </w:numPr>
        <w:jc w:val="both"/>
      </w:pPr>
      <w:r w:rsidRPr="002648CE">
        <w:t>für das Sommersemester: bis zum 01. November</w:t>
      </w:r>
    </w:p>
    <w:p w:rsidR="00E04EA0" w:rsidRPr="002648CE" w:rsidRDefault="00E04EA0" w:rsidP="00E04EA0">
      <w:pPr>
        <w:jc w:val="both"/>
        <w:rPr>
          <w:b/>
        </w:rPr>
      </w:pPr>
      <w:r w:rsidRPr="002648CE">
        <w:rPr>
          <w:b/>
        </w:rPr>
        <w:t xml:space="preserve">Bewerbungsverfahren und Wohnheimantrag </w:t>
      </w:r>
    </w:p>
    <w:p w:rsidR="00E04EA0" w:rsidRPr="002648CE" w:rsidRDefault="00E04EA0" w:rsidP="00E04EA0">
      <w:pPr>
        <w:jc w:val="both"/>
      </w:pPr>
      <w:r w:rsidRPr="002648CE">
        <w:t xml:space="preserve">Aktuelle Informationen für ein Auslandsjahr in Vannes finden Sie hier: </w:t>
      </w:r>
      <w:hyperlink r:id="rId7" w:history="1">
        <w:r w:rsidRPr="002648CE">
          <w:rPr>
            <w:rStyle w:val="Hyperlink"/>
          </w:rPr>
          <w:t>http://www.univ-ubs.fr/fr/international/mobilite-etudiante/etudier-a-l-ubs.html</w:t>
        </w:r>
      </w:hyperlink>
      <w:r w:rsidRPr="002648CE">
        <w:t xml:space="preserve"> </w:t>
      </w:r>
    </w:p>
    <w:p w:rsidR="00E04EA0" w:rsidRPr="002648CE" w:rsidRDefault="00E04EA0" w:rsidP="00E04EA0">
      <w:pPr>
        <w:tabs>
          <w:tab w:val="left" w:pos="6630"/>
        </w:tabs>
        <w:jc w:val="both"/>
      </w:pPr>
      <w:r w:rsidRPr="002648CE">
        <w:t xml:space="preserve">Das „Wintersemester“ beginnt im September und endet im Januar. Die Prüfungen finden zwischen Mitte Dezember und Januar statt. </w:t>
      </w:r>
    </w:p>
    <w:p w:rsidR="00E04EA0" w:rsidRPr="002648CE" w:rsidRDefault="00E04EA0" w:rsidP="00E04EA0">
      <w:pPr>
        <w:tabs>
          <w:tab w:val="left" w:pos="6630"/>
        </w:tabs>
        <w:jc w:val="both"/>
      </w:pPr>
      <w:r w:rsidRPr="002648CE">
        <w:t xml:space="preserve">Das „Sommersemester“ beginnt im Januar und endet im Mai. Die Prüfungen finden im Mai statt und die Wiederholungsprüfungen im Juni. </w:t>
      </w:r>
    </w:p>
    <w:p w:rsidR="00E04EA0" w:rsidRPr="002648CE" w:rsidRDefault="00E04EA0" w:rsidP="00E04EA0">
      <w:pPr>
        <w:tabs>
          <w:tab w:val="left" w:pos="6630"/>
        </w:tabs>
        <w:jc w:val="both"/>
      </w:pPr>
      <w:r w:rsidRPr="002648CE">
        <w:t xml:space="preserve">Die Journées d’accueil „Welcome days“ finden von Anfang bis Mitte September statt und sollen den ausländischen Studierenden bei ihren Formalitäten helfen (Wohnungsuche, Einschreibungen). Ausflüge und Treffen mit anderen Studierenden gehören auch zum Programm dieser Journées d’accueil. </w:t>
      </w:r>
    </w:p>
    <w:p w:rsidR="00E04EA0" w:rsidRPr="002648CE" w:rsidRDefault="00E04EA0" w:rsidP="00E04EA0">
      <w:pPr>
        <w:tabs>
          <w:tab w:val="left" w:pos="6630"/>
        </w:tabs>
        <w:jc w:val="both"/>
        <w:rPr>
          <w:b/>
        </w:rPr>
      </w:pPr>
      <w:r w:rsidRPr="002648CE">
        <w:rPr>
          <w:b/>
        </w:rPr>
        <w:t>Sprachkurse :</w:t>
      </w:r>
    </w:p>
    <w:p w:rsidR="00E04EA0" w:rsidRPr="002648CE" w:rsidRDefault="00E04EA0" w:rsidP="00E04EA0">
      <w:pPr>
        <w:tabs>
          <w:tab w:val="left" w:pos="6630"/>
        </w:tabs>
        <w:jc w:val="both"/>
      </w:pPr>
      <w:r w:rsidRPr="002648CE">
        <w:t>Ein kostenloser Intensivkurs (eine Woche) wird Anfang September für alle ausländischen Studierenden, die an der Université Bretagne Sud eingeschrieben sind. Die Ziele sind:</w:t>
      </w:r>
    </w:p>
    <w:p w:rsidR="00E04EA0" w:rsidRPr="002648CE" w:rsidRDefault="00E04EA0" w:rsidP="00E04EA0">
      <w:pPr>
        <w:pStyle w:val="Listenabsatz"/>
        <w:numPr>
          <w:ilvl w:val="2"/>
          <w:numId w:val="1"/>
        </w:numPr>
        <w:tabs>
          <w:tab w:val="left" w:pos="6630"/>
        </w:tabs>
        <w:jc w:val="both"/>
      </w:pPr>
      <w:r w:rsidRPr="002648CE">
        <w:t>Eine bessere Integration zu fördern</w:t>
      </w:r>
    </w:p>
    <w:p w:rsidR="00E04EA0" w:rsidRPr="002648CE" w:rsidRDefault="00E04EA0" w:rsidP="00E04EA0">
      <w:pPr>
        <w:pStyle w:val="Listenabsatz"/>
        <w:numPr>
          <w:ilvl w:val="2"/>
          <w:numId w:val="1"/>
        </w:numPr>
        <w:tabs>
          <w:tab w:val="left" w:pos="6630"/>
        </w:tabs>
        <w:jc w:val="both"/>
      </w:pPr>
      <w:r w:rsidRPr="002648CE">
        <w:t>Eine Vorbereitung zu dem obligatorischen Einstufungstest, Voraussetzung für die Teilnahme an den Französischkursen im Semester.</w:t>
      </w:r>
      <w:r w:rsidRPr="002648CE">
        <w:tab/>
      </w:r>
    </w:p>
    <w:p w:rsidR="00E04EA0" w:rsidRDefault="00E04EA0" w:rsidP="00E04EA0">
      <w:pPr>
        <w:pStyle w:val="berschrift3"/>
        <w:jc w:val="both"/>
        <w:rPr>
          <w:rFonts w:asciiTheme="minorHAnsi" w:hAnsiTheme="minorHAnsi"/>
          <w:b w:val="0"/>
          <w:color w:val="auto"/>
        </w:rPr>
      </w:pPr>
      <w:bookmarkStart w:id="1" w:name="N10042"/>
      <w:bookmarkEnd w:id="1"/>
      <w:r w:rsidRPr="002648CE">
        <w:rPr>
          <w:rFonts w:asciiTheme="minorHAnsi" w:hAnsiTheme="minorHAnsi"/>
          <w:b w:val="0"/>
          <w:color w:val="auto"/>
        </w:rPr>
        <w:t>Kostenlose Französischkurse (A2/B1 – B2/C1) werden im Semester angeboten (40 SWS, 10 Wochen, 2,5 ECTS Punkte).</w:t>
      </w:r>
    </w:p>
    <w:p w:rsidR="00E04EA0" w:rsidRPr="00E04EA0" w:rsidRDefault="00E04EA0" w:rsidP="00E04EA0"/>
    <w:p w:rsidR="00E04EA0" w:rsidRPr="002648CE" w:rsidRDefault="00E04EA0" w:rsidP="00E04EA0">
      <w:pPr>
        <w:jc w:val="both"/>
      </w:pPr>
      <w:r w:rsidRPr="002648CE">
        <w:t xml:space="preserve">Aktuelle Informationen für 2018-2019 finden Sie hier (Information Sheet 2018-2019). </w:t>
      </w:r>
    </w:p>
    <w:p w:rsidR="00E04EA0" w:rsidRPr="002648CE" w:rsidRDefault="00E04EA0" w:rsidP="00E04EA0">
      <w:pPr>
        <w:jc w:val="both"/>
      </w:pPr>
      <w:r w:rsidRPr="002648CE">
        <w:t xml:space="preserve">Hier finden Sie alle Studiengänge und Fächer, die in Vannes unterrichtet werden: </w:t>
      </w:r>
      <w:hyperlink r:id="rId8" w:history="1">
        <w:r w:rsidRPr="002648CE">
          <w:rPr>
            <w:rStyle w:val="Hyperlink"/>
          </w:rPr>
          <w:t>http://www.univ-ubs.fr/fr/formation-initiale-continue/formation-initiale/formations-diplomes.html</w:t>
        </w:r>
      </w:hyperlink>
      <w:r w:rsidRPr="002648CE">
        <w:t xml:space="preserve"> </w:t>
      </w:r>
    </w:p>
    <w:p w:rsidR="00E04EA0" w:rsidRPr="002648CE" w:rsidRDefault="00E04EA0" w:rsidP="00E04EA0">
      <w:pPr>
        <w:jc w:val="both"/>
        <w:rPr>
          <w:b/>
          <w:lang w:val="fr-FR"/>
        </w:rPr>
      </w:pPr>
      <w:r w:rsidRPr="002648CE">
        <w:rPr>
          <w:b/>
          <w:lang w:val="fr-FR"/>
        </w:rPr>
        <w:t>Ansprechpartner in Vannes</w:t>
      </w:r>
    </w:p>
    <w:p w:rsidR="00E04EA0" w:rsidRPr="002648CE" w:rsidRDefault="00E04EA0" w:rsidP="00E04EA0">
      <w:pPr>
        <w:jc w:val="both"/>
        <w:rPr>
          <w:lang w:val="fr-FR"/>
        </w:rPr>
      </w:pPr>
      <w:r w:rsidRPr="002648CE">
        <w:rPr>
          <w:lang w:val="fr-FR"/>
        </w:rPr>
        <w:t xml:space="preserve">Herr Cédric Frambourg, Coordinateur des relations internationales für die Université de Bretagne Sud, IUT de Vannes, </w:t>
      </w:r>
      <w:hyperlink r:id="rId9" w:history="1">
        <w:r w:rsidRPr="002648CE">
          <w:rPr>
            <w:rStyle w:val="Hyperlink"/>
            <w:lang w:val="fr-FR"/>
          </w:rPr>
          <w:t>iutva.ri@listes.univ-ubs.fr</w:t>
        </w:r>
      </w:hyperlink>
    </w:p>
    <w:p w:rsidR="00E04EA0" w:rsidRDefault="00E04EA0" w:rsidP="00E04EA0">
      <w:pPr>
        <w:jc w:val="both"/>
      </w:pPr>
      <w:r w:rsidRPr="002648CE">
        <w:t xml:space="preserve">Hier können Sie ein Handbuch für ausländischen Studierenden „Guide des étudiants étrangers“ herunterladen (auf Französisch). </w:t>
      </w:r>
    </w:p>
    <w:p w:rsidR="00C06691" w:rsidRDefault="00C06691"/>
    <w:sectPr w:rsidR="00C066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554153"/>
    <w:multiLevelType w:val="hybridMultilevel"/>
    <w:tmpl w:val="E3D4EB26"/>
    <w:lvl w:ilvl="0" w:tplc="9AA06206">
      <w:start w:val="1"/>
      <w:numFmt w:val="bullet"/>
      <w:lvlText w:val=""/>
      <w:lvlJc w:val="left"/>
      <w:pPr>
        <w:tabs>
          <w:tab w:val="num" w:pos="720"/>
        </w:tabs>
        <w:ind w:left="720" w:hanging="360"/>
      </w:pPr>
      <w:rPr>
        <w:rFonts w:ascii="Wingdings" w:hAnsi="Wingdings" w:hint="default"/>
      </w:rPr>
    </w:lvl>
    <w:lvl w:ilvl="1" w:tplc="1B8AEB66">
      <w:start w:val="1"/>
      <w:numFmt w:val="bullet"/>
      <w:lvlText w:val=""/>
      <w:lvlJc w:val="left"/>
      <w:pPr>
        <w:tabs>
          <w:tab w:val="num" w:pos="1440"/>
        </w:tabs>
        <w:ind w:left="1440" w:hanging="360"/>
      </w:pPr>
      <w:rPr>
        <w:rFonts w:ascii="Wingdings" w:hAnsi="Wingdings" w:hint="default"/>
      </w:rPr>
    </w:lvl>
    <w:lvl w:ilvl="2" w:tplc="ADD2D830">
      <w:start w:val="1"/>
      <w:numFmt w:val="bullet"/>
      <w:lvlText w:val="-"/>
      <w:lvlJc w:val="left"/>
      <w:pPr>
        <w:ind w:left="2160" w:hanging="360"/>
      </w:pPr>
      <w:rPr>
        <w:rFonts w:ascii="Calibri" w:eastAsiaTheme="minorHAnsi" w:hAnsi="Calibri" w:cstheme="minorBidi" w:hint="default"/>
      </w:rPr>
    </w:lvl>
    <w:lvl w:ilvl="3" w:tplc="A3EE5322" w:tentative="1">
      <w:start w:val="1"/>
      <w:numFmt w:val="bullet"/>
      <w:lvlText w:val=""/>
      <w:lvlJc w:val="left"/>
      <w:pPr>
        <w:tabs>
          <w:tab w:val="num" w:pos="2880"/>
        </w:tabs>
        <w:ind w:left="2880" w:hanging="360"/>
      </w:pPr>
      <w:rPr>
        <w:rFonts w:ascii="Wingdings" w:hAnsi="Wingdings" w:hint="default"/>
      </w:rPr>
    </w:lvl>
    <w:lvl w:ilvl="4" w:tplc="A120CBE6" w:tentative="1">
      <w:start w:val="1"/>
      <w:numFmt w:val="bullet"/>
      <w:lvlText w:val=""/>
      <w:lvlJc w:val="left"/>
      <w:pPr>
        <w:tabs>
          <w:tab w:val="num" w:pos="3600"/>
        </w:tabs>
        <w:ind w:left="3600" w:hanging="360"/>
      </w:pPr>
      <w:rPr>
        <w:rFonts w:ascii="Wingdings" w:hAnsi="Wingdings" w:hint="default"/>
      </w:rPr>
    </w:lvl>
    <w:lvl w:ilvl="5" w:tplc="AB067138" w:tentative="1">
      <w:start w:val="1"/>
      <w:numFmt w:val="bullet"/>
      <w:lvlText w:val=""/>
      <w:lvlJc w:val="left"/>
      <w:pPr>
        <w:tabs>
          <w:tab w:val="num" w:pos="4320"/>
        </w:tabs>
        <w:ind w:left="4320" w:hanging="360"/>
      </w:pPr>
      <w:rPr>
        <w:rFonts w:ascii="Wingdings" w:hAnsi="Wingdings" w:hint="default"/>
      </w:rPr>
    </w:lvl>
    <w:lvl w:ilvl="6" w:tplc="E3305AFC" w:tentative="1">
      <w:start w:val="1"/>
      <w:numFmt w:val="bullet"/>
      <w:lvlText w:val=""/>
      <w:lvlJc w:val="left"/>
      <w:pPr>
        <w:tabs>
          <w:tab w:val="num" w:pos="5040"/>
        </w:tabs>
        <w:ind w:left="5040" w:hanging="360"/>
      </w:pPr>
      <w:rPr>
        <w:rFonts w:ascii="Wingdings" w:hAnsi="Wingdings" w:hint="default"/>
      </w:rPr>
    </w:lvl>
    <w:lvl w:ilvl="7" w:tplc="EEF0F744" w:tentative="1">
      <w:start w:val="1"/>
      <w:numFmt w:val="bullet"/>
      <w:lvlText w:val=""/>
      <w:lvlJc w:val="left"/>
      <w:pPr>
        <w:tabs>
          <w:tab w:val="num" w:pos="5760"/>
        </w:tabs>
        <w:ind w:left="5760" w:hanging="360"/>
      </w:pPr>
      <w:rPr>
        <w:rFonts w:ascii="Wingdings" w:hAnsi="Wingdings" w:hint="default"/>
      </w:rPr>
    </w:lvl>
    <w:lvl w:ilvl="8" w:tplc="7FDC95F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A0"/>
    <w:rsid w:val="00295B40"/>
    <w:rsid w:val="00695632"/>
    <w:rsid w:val="00C06691"/>
    <w:rsid w:val="00E04E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C3B28-0405-47D8-9CEE-0B2FB318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A0"/>
    <w:pPr>
      <w:spacing w:after="200" w:line="276" w:lineRule="auto"/>
    </w:pPr>
  </w:style>
  <w:style w:type="paragraph" w:styleId="berschrift3">
    <w:name w:val="heading 3"/>
    <w:basedOn w:val="Standard"/>
    <w:next w:val="Standard"/>
    <w:link w:val="berschrift3Zchn"/>
    <w:uiPriority w:val="9"/>
    <w:unhideWhenUsed/>
    <w:qFormat/>
    <w:rsid w:val="00E04EA0"/>
    <w:pPr>
      <w:keepNext/>
      <w:keepLines/>
      <w:spacing w:before="200" w:after="0"/>
      <w:outlineLvl w:val="2"/>
    </w:pPr>
    <w:rPr>
      <w:rFonts w:asciiTheme="majorHAnsi" w:eastAsiaTheme="majorEastAsia" w:hAnsiTheme="majorHAnsi" w:cstheme="majorBidi"/>
      <w:b/>
      <w:b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04EA0"/>
    <w:rPr>
      <w:rFonts w:asciiTheme="majorHAnsi" w:eastAsiaTheme="majorEastAsia" w:hAnsiTheme="majorHAnsi" w:cstheme="majorBidi"/>
      <w:b/>
      <w:bCs/>
      <w:color w:val="5B9BD5" w:themeColor="accent1"/>
    </w:rPr>
  </w:style>
  <w:style w:type="character" w:styleId="Hyperlink">
    <w:name w:val="Hyperlink"/>
    <w:basedOn w:val="Absatz-Standardschriftart"/>
    <w:uiPriority w:val="99"/>
    <w:unhideWhenUsed/>
    <w:rsid w:val="00E04EA0"/>
    <w:rPr>
      <w:color w:val="0563C1" w:themeColor="hyperlink"/>
      <w:u w:val="single"/>
    </w:rPr>
  </w:style>
  <w:style w:type="paragraph" w:styleId="Listenabsatz">
    <w:name w:val="List Paragraph"/>
    <w:basedOn w:val="Standard"/>
    <w:uiPriority w:val="34"/>
    <w:qFormat/>
    <w:rsid w:val="00E04EA0"/>
    <w:pPr>
      <w:ind w:left="720"/>
      <w:contextualSpacing/>
    </w:pPr>
  </w:style>
  <w:style w:type="character" w:styleId="BesuchterHyperlink">
    <w:name w:val="FollowedHyperlink"/>
    <w:basedOn w:val="Absatz-Standardschriftart"/>
    <w:uiPriority w:val="99"/>
    <w:semiHidden/>
    <w:unhideWhenUsed/>
    <w:rsid w:val="00E04E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ubs.fr/fr/formation-initiale-continue/formation-initiale/formations-diplomes.html" TargetMode="External"/><Relationship Id="rId3" Type="http://schemas.openxmlformats.org/officeDocument/2006/relationships/settings" Target="settings.xml"/><Relationship Id="rId7" Type="http://schemas.openxmlformats.org/officeDocument/2006/relationships/hyperlink" Target="http://www.univ-ubs.fr/fr/international/mobilite-etudiante/etudier-a-l-ub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u-vannes.fr/" TargetMode="External"/><Relationship Id="rId11" Type="http://schemas.openxmlformats.org/officeDocument/2006/relationships/theme" Target="theme/theme1.xml"/><Relationship Id="rId5" Type="http://schemas.openxmlformats.org/officeDocument/2006/relationships/hyperlink" Target="http://www.iu-vannes.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utva.ri@listes.univ-ubs.f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Pohlmann</dc:creator>
  <cp:keywords/>
  <dc:description/>
  <cp:lastModifiedBy>Pohlmann</cp:lastModifiedBy>
  <cp:revision>1</cp:revision>
  <dcterms:created xsi:type="dcterms:W3CDTF">2019-07-09T11:55:00Z</dcterms:created>
  <dcterms:modified xsi:type="dcterms:W3CDTF">2019-07-09T12:13:00Z</dcterms:modified>
</cp:coreProperties>
</file>